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BA55" w14:textId="47CEAA4B" w:rsidR="00417AC6" w:rsidRPr="001D059F" w:rsidRDefault="0051332C" w:rsidP="0051332C">
      <w:pPr>
        <w:rPr>
          <w:rFonts w:ascii="Avenir Roman" w:hAnsi="Avenir Roman" w:cs="Calibri"/>
        </w:rPr>
      </w:pPr>
      <w:r w:rsidRPr="001D059F">
        <w:rPr>
          <w:rFonts w:ascii="Avenir Roman" w:hAnsi="Avenir Roman" w:cs="Calibri"/>
          <w:noProof/>
        </w:rPr>
        <mc:AlternateContent>
          <mc:Choice Requires="wps">
            <w:drawing>
              <wp:anchor distT="0" distB="0" distL="114300" distR="114300" simplePos="0" relativeHeight="251659264" behindDoc="0" locked="0" layoutInCell="1" allowOverlap="1" wp14:anchorId="5E67D556" wp14:editId="3CF1A228">
                <wp:simplePos x="0" y="0"/>
                <wp:positionH relativeFrom="column">
                  <wp:posOffset>2147777</wp:posOffset>
                </wp:positionH>
                <wp:positionV relativeFrom="paragraph">
                  <wp:posOffset>-1329</wp:posOffset>
                </wp:positionV>
                <wp:extent cx="3880337" cy="744279"/>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880337" cy="744279"/>
                        </a:xfrm>
                        <a:prstGeom prst="rect">
                          <a:avLst/>
                        </a:prstGeom>
                        <a:solidFill>
                          <a:schemeClr val="lt1"/>
                        </a:solidFill>
                        <a:ln w="6350">
                          <a:noFill/>
                        </a:ln>
                      </wps:spPr>
                      <wps:txbx>
                        <w:txbxContent>
                          <w:p w14:paraId="22AE47BB" w14:textId="69BECB0B" w:rsidR="0051332C" w:rsidRPr="0051332C" w:rsidRDefault="0051332C"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sidR="0027294F">
                              <w:rPr>
                                <w:rFonts w:ascii="Avenir Black" w:hAnsi="Avenir Black"/>
                                <w:b/>
                                <w:sz w:val="28"/>
                                <w:szCs w:val="28"/>
                              </w:rPr>
                              <w:t>MEDICAL GOOD SAMARITAN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7D556" id="_x0000_t202" coordsize="21600,21600" o:spt="202" path="m,l,21600r21600,l21600,xe">
                <v:stroke joinstyle="miter"/>
                <v:path gradientshapeok="t" o:connecttype="rect"/>
              </v:shapetype>
              <v:shape id="Text Box 5" o:spid="_x0000_s1026" type="#_x0000_t202" style="position:absolute;margin-left:169.1pt;margin-top:-.1pt;width:305.55pt;height:5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" fillcolor="white [3201]" stroked="f" strokeweight=".5pt">
                <v:textbox>
                  <w:txbxContent>
                    <w:p w14:paraId="22AE47BB" w14:textId="69BECB0B" w:rsidR="0051332C" w:rsidRPr="0051332C" w:rsidRDefault="0051332C"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sidR="0027294F">
                        <w:rPr>
                          <w:rFonts w:ascii="Avenir Black" w:hAnsi="Avenir Black"/>
                          <w:b/>
                          <w:sz w:val="28"/>
                          <w:szCs w:val="28"/>
                        </w:rPr>
                        <w:t>MEDICAL GOOD SAMARITAN POLICY</w:t>
                      </w:r>
                    </w:p>
                  </w:txbxContent>
                </v:textbox>
              </v:shape>
            </w:pict>
          </mc:Fallback>
        </mc:AlternateContent>
      </w:r>
      <w:r w:rsidRPr="001D059F">
        <w:rPr>
          <w:rFonts w:ascii="Avenir Roman" w:hAnsi="Avenir Roman" w:cs="Calibri"/>
          <w:noProof/>
        </w:rPr>
        <w:drawing>
          <wp:inline distT="0" distB="0" distL="0" distR="0" wp14:anchorId="16CDCDCE" wp14:editId="12CD9DE1">
            <wp:extent cx="1996557"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png"/>
                    <pic:cNvPicPr/>
                  </pic:nvPicPr>
                  <pic:blipFill>
                    <a:blip r:embed="rId8">
                      <a:extLst>
                        <a:ext uri="{28A0092B-C50C-407E-A947-70E740481C1C}">
                          <a14:useLocalDpi xmlns:a14="http://schemas.microsoft.com/office/drawing/2010/main" val="0"/>
                        </a:ext>
                      </a:extLst>
                    </a:blip>
                    <a:stretch>
                      <a:fillRect/>
                    </a:stretch>
                  </pic:blipFill>
                  <pic:spPr>
                    <a:xfrm>
                      <a:off x="0" y="0"/>
                      <a:ext cx="2021445" cy="699731"/>
                    </a:xfrm>
                    <a:prstGeom prst="rect">
                      <a:avLst/>
                    </a:prstGeom>
                  </pic:spPr>
                </pic:pic>
              </a:graphicData>
            </a:graphic>
          </wp:inline>
        </w:drawing>
      </w:r>
    </w:p>
    <w:p w14:paraId="12A8CE18" w14:textId="77777777" w:rsidR="0051332C" w:rsidRPr="001D059F" w:rsidRDefault="0051332C" w:rsidP="0051332C">
      <w:pPr>
        <w:rPr>
          <w:rFonts w:ascii="Avenir Roman" w:hAnsi="Avenir Roman" w:cs="Calibri"/>
        </w:rPr>
      </w:pPr>
    </w:p>
    <w:p w14:paraId="53AA3382" w14:textId="77777777" w:rsidR="00417AC6" w:rsidRPr="001D059F" w:rsidRDefault="00417AC6" w:rsidP="00417AC6">
      <w:pPr>
        <w:pBdr>
          <w:top w:val="single" w:sz="4" w:space="1" w:color="auto"/>
        </w:pBdr>
        <w:jc w:val="center"/>
        <w:rPr>
          <w:rFonts w:ascii="Avenir Roman" w:hAnsi="Avenir Roman" w:cs="Calibri"/>
        </w:rPr>
      </w:pPr>
    </w:p>
    <w:p w14:paraId="34111507" w14:textId="2A66C35B" w:rsidR="0051332C" w:rsidRPr="001D059F" w:rsidRDefault="0027294F" w:rsidP="0051332C">
      <w:pPr>
        <w:jc w:val="center"/>
        <w:rPr>
          <w:rFonts w:ascii="Avenir Roman" w:hAnsi="Avenir Roman" w:cs="Calibri"/>
          <w:b/>
          <w:sz w:val="48"/>
          <w:szCs w:val="48"/>
        </w:rPr>
      </w:pPr>
      <w:r>
        <w:rPr>
          <w:rFonts w:ascii="Avenir Roman" w:hAnsi="Avenir Roman" w:cs="Calibri"/>
          <w:b/>
          <w:sz w:val="48"/>
          <w:szCs w:val="48"/>
        </w:rPr>
        <w:t>Good Samaritan Policy Sample Language</w:t>
      </w:r>
    </w:p>
    <w:p w14:paraId="28088E58" w14:textId="77777777" w:rsidR="0051332C" w:rsidRPr="001D059F" w:rsidRDefault="0051332C" w:rsidP="002356A2">
      <w:pPr>
        <w:rPr>
          <w:rFonts w:ascii="Avenir Roman" w:eastAsia="Times New Roman" w:hAnsi="Avenir Roman" w:cs="Calibri"/>
        </w:rPr>
      </w:pPr>
    </w:p>
    <w:p w14:paraId="5099E0CA" w14:textId="3B8034F0" w:rsidR="0027294F" w:rsidRPr="007D2759" w:rsidRDefault="0027294F" w:rsidP="0027294F">
      <w:pPr>
        <w:pStyle w:val="ListParagraph"/>
        <w:ind w:left="0"/>
        <w:rPr>
          <w:rFonts w:ascii="Calibri" w:eastAsia="Calibri" w:hAnsi="Calibri" w:cs="Calibri"/>
          <w:b/>
          <w:bCs/>
        </w:rPr>
      </w:pPr>
      <w:r>
        <w:rPr>
          <w:rFonts w:ascii="Calibri" w:eastAsia="Calibri" w:hAnsi="Calibri" w:cs="Calibri"/>
          <w:color w:val="000000" w:themeColor="text1"/>
        </w:rPr>
        <w:t>C</w:t>
      </w:r>
      <w:r w:rsidRPr="00B0121B">
        <w:rPr>
          <w:rFonts w:ascii="Calibri" w:eastAsia="Calibri" w:hAnsi="Calibri" w:cs="Calibri"/>
          <w:color w:val="000000" w:themeColor="text1"/>
        </w:rPr>
        <w:t xml:space="preserve">onsult existing </w:t>
      </w:r>
      <w:r>
        <w:rPr>
          <w:rFonts w:ascii="Calibri" w:eastAsia="Calibri" w:hAnsi="Calibri" w:cs="Calibri"/>
          <w:color w:val="000000" w:themeColor="text1"/>
        </w:rPr>
        <w:t>campus</w:t>
      </w:r>
      <w:r w:rsidRPr="00B0121B">
        <w:rPr>
          <w:rFonts w:ascii="Calibri" w:eastAsia="Calibri" w:hAnsi="Calibri" w:cs="Calibri"/>
          <w:color w:val="000000" w:themeColor="text1"/>
        </w:rPr>
        <w:t xml:space="preserve"> policy and your </w:t>
      </w:r>
      <w:r>
        <w:rPr>
          <w:rFonts w:ascii="Calibri" w:eastAsia="Calibri" w:hAnsi="Calibri" w:cs="Calibri"/>
          <w:color w:val="000000" w:themeColor="text1"/>
        </w:rPr>
        <w:t>campus</w:t>
      </w:r>
      <w:r w:rsidRPr="00B0121B">
        <w:rPr>
          <w:rFonts w:ascii="Calibri" w:eastAsia="Calibri" w:hAnsi="Calibri" w:cs="Calibri"/>
          <w:color w:val="000000" w:themeColor="text1"/>
        </w:rPr>
        <w:t xml:space="preserve"> general counsel before adopting a policy. </w:t>
      </w:r>
      <w:r>
        <w:rPr>
          <w:rFonts w:ascii="Calibri" w:eastAsia="Calibri" w:hAnsi="Calibri" w:cs="Calibri"/>
          <w:color w:val="000000" w:themeColor="text1"/>
        </w:rPr>
        <w:t>Here is</w:t>
      </w:r>
      <w:r w:rsidRPr="00B0121B">
        <w:rPr>
          <w:rFonts w:ascii="Calibri" w:eastAsia="Calibri" w:hAnsi="Calibri" w:cs="Calibri"/>
          <w:color w:val="000000" w:themeColor="text1"/>
        </w:rPr>
        <w:t xml:space="preserve"> potential sample language to assist with </w:t>
      </w:r>
      <w:bookmarkStart w:id="0" w:name="_GoBack"/>
      <w:r w:rsidRPr="00B0121B">
        <w:rPr>
          <w:rFonts w:ascii="Calibri" w:eastAsia="Calibri" w:hAnsi="Calibri" w:cs="Calibri"/>
          <w:color w:val="000000" w:themeColor="text1"/>
        </w:rPr>
        <w:t xml:space="preserve">your </w:t>
      </w:r>
      <w:bookmarkEnd w:id="0"/>
      <w:r w:rsidRPr="00B0121B">
        <w:rPr>
          <w:rFonts w:ascii="Calibri" w:eastAsia="Calibri" w:hAnsi="Calibri" w:cs="Calibri"/>
          <w:color w:val="000000" w:themeColor="text1"/>
        </w:rPr>
        <w:t>efforts.</w:t>
      </w:r>
    </w:p>
    <w:p w14:paraId="3A517F13" w14:textId="77777777" w:rsidR="0027294F" w:rsidRDefault="0027294F" w:rsidP="0027294F">
      <w:pPr>
        <w:rPr>
          <w:rFonts w:ascii="Calibri" w:eastAsia="Calibri" w:hAnsi="Calibri" w:cs="Calibri"/>
        </w:rPr>
      </w:pPr>
    </w:p>
    <w:p w14:paraId="6384BFA3" w14:textId="77777777" w:rsidR="0027294F" w:rsidRPr="007D2759" w:rsidRDefault="0027294F" w:rsidP="0027294F">
      <w:pPr>
        <w:rPr>
          <w:b/>
        </w:rPr>
      </w:pPr>
      <w:r w:rsidRPr="007D2759">
        <w:rPr>
          <w:rFonts w:ascii="Calibri" w:eastAsia="Calibri" w:hAnsi="Calibri" w:cs="Calibri"/>
          <w:b/>
        </w:rPr>
        <w:t>Sample language: Individual</w:t>
      </w:r>
    </w:p>
    <w:p w14:paraId="76B8B1D8" w14:textId="77777777" w:rsidR="0027294F" w:rsidRDefault="0027294F" w:rsidP="0027294F">
      <w:pPr>
        <w:rPr>
          <w:rFonts w:ascii="Calibri" w:eastAsia="Calibri" w:hAnsi="Calibri" w:cs="Calibri"/>
        </w:rPr>
      </w:pPr>
    </w:p>
    <w:p w14:paraId="268B9F4F" w14:textId="77777777" w:rsidR="0027294F" w:rsidRPr="007D2759" w:rsidRDefault="0027294F" w:rsidP="0027294F">
      <w:pPr>
        <w:rPr>
          <w:i/>
        </w:rPr>
      </w:pPr>
      <w:r w:rsidRPr="007D2759">
        <w:rPr>
          <w:rFonts w:ascii="Calibri" w:eastAsia="Calibri" w:hAnsi="Calibri" w:cs="Calibri"/>
          <w:i/>
        </w:rPr>
        <w:t>If a member assists another person in obtaining immediate and appropriate medical care related to the use or consumption of alcohol, drugs, or to another medical emergency, then that member, as well as those who are assisted, will not be subject to individual disciplinary action with respect to the incident. This is the case even if the member who is assisting was a contributing factor to that emergency. An individual may benefit from this policy more than once, though repeated use of the policy may receive stricter scrutiny.</w:t>
      </w:r>
    </w:p>
    <w:p w14:paraId="556B6CA5" w14:textId="77777777" w:rsidR="0027294F" w:rsidRDefault="0027294F" w:rsidP="0027294F">
      <w:pPr>
        <w:rPr>
          <w:rFonts w:ascii="Calibri" w:eastAsia="Calibri" w:hAnsi="Calibri" w:cs="Calibri"/>
        </w:rPr>
      </w:pPr>
    </w:p>
    <w:p w14:paraId="1533D2B5" w14:textId="77777777" w:rsidR="0027294F" w:rsidRPr="007D2759" w:rsidRDefault="0027294F" w:rsidP="0027294F">
      <w:pPr>
        <w:rPr>
          <w:b/>
        </w:rPr>
      </w:pPr>
      <w:r w:rsidRPr="007D2759">
        <w:rPr>
          <w:rFonts w:ascii="Calibri" w:eastAsia="Calibri" w:hAnsi="Calibri" w:cs="Calibri"/>
          <w:b/>
        </w:rPr>
        <w:t>Sample language: Chapter</w:t>
      </w:r>
    </w:p>
    <w:p w14:paraId="0027184A" w14:textId="77777777" w:rsidR="0027294F" w:rsidRDefault="0027294F" w:rsidP="0027294F">
      <w:pPr>
        <w:rPr>
          <w:rFonts w:ascii="Calibri" w:eastAsia="Calibri" w:hAnsi="Calibri" w:cs="Calibri"/>
        </w:rPr>
      </w:pPr>
    </w:p>
    <w:p w14:paraId="055705C4" w14:textId="5CFCC26A" w:rsidR="00804AE4" w:rsidRPr="0027294F" w:rsidRDefault="0027294F" w:rsidP="0027294F">
      <w:pPr>
        <w:rPr>
          <w:i/>
        </w:rPr>
      </w:pPr>
      <w:r w:rsidRPr="007D2759">
        <w:rPr>
          <w:rFonts w:ascii="Calibri" w:eastAsia="Calibri" w:hAnsi="Calibri" w:cs="Calibri"/>
          <w:i/>
        </w:rPr>
        <w:t>A chapter that seeks immediate and appropriate medical assistance for a person in need related to the use or consumption of alcohol, drugs, or to another medical emergency, may be eligible for mitigation of charges related to violations of organizational policies. To be eligible for this potential mitigation, the chapter will be required to meet in person or by phone with a national staff member or an alumni volunteer designated by the fraternity. A chapter may benefit from this policy more than once, though repeated use of the policy may receive stricter scrutiny.</w:t>
      </w:r>
    </w:p>
    <w:sectPr w:rsidR="00804AE4" w:rsidRPr="0027294F" w:rsidSect="0051332C">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18D0" w14:textId="77777777" w:rsidR="00360960" w:rsidRDefault="00360960" w:rsidP="00EF517A">
      <w:r>
        <w:separator/>
      </w:r>
    </w:p>
  </w:endnote>
  <w:endnote w:type="continuationSeparator" w:id="0">
    <w:p w14:paraId="2E2FB21C" w14:textId="77777777" w:rsidR="00360960" w:rsidRDefault="00360960" w:rsidP="00EF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E2C3" w14:textId="3A1DE07F" w:rsidR="0051332C" w:rsidRDefault="0051332C" w:rsidP="0051332C">
    <w:pPr>
      <w:pStyle w:val="Footer"/>
      <w:jc w:val="center"/>
      <w:rPr>
        <w:rFonts w:ascii="Avenir Roman" w:hAnsi="Avenir Roman"/>
        <w:i/>
        <w:vertAlign w:val="superscript"/>
      </w:rPr>
    </w:pPr>
    <w:r w:rsidRPr="0051332C">
      <w:rPr>
        <w:rFonts w:ascii="Avenir Roman" w:hAnsi="Avenir Roman"/>
        <w:i/>
      </w:rPr>
      <w:t>North American Interfraternity Conference</w:t>
    </w:r>
    <w:r w:rsidRPr="0051332C">
      <w:rPr>
        <w:rFonts w:ascii="Avenir Roman" w:hAnsi="Avenir Roman"/>
        <w:i/>
        <w:vertAlign w:val="superscript"/>
      </w:rPr>
      <w:sym w:font="Symbol" w:char="F0D3"/>
    </w:r>
  </w:p>
  <w:p w14:paraId="273A2834" w14:textId="13E601EE" w:rsidR="0051332C" w:rsidRPr="0051332C" w:rsidRDefault="0051332C" w:rsidP="0051332C">
    <w:pPr>
      <w:pStyle w:val="Footer"/>
      <w:jc w:val="center"/>
      <w:rPr>
        <w:rFonts w:ascii="Avenir Roman" w:hAnsi="Avenir Roman"/>
        <w:i/>
      </w:rPr>
    </w:pPr>
    <w:r>
      <w:rPr>
        <w:rFonts w:ascii="Avenir Roman" w:hAnsi="Avenir Roman"/>
        <w:i/>
      </w:rPr>
      <w:t>January 8, 2019</w:t>
    </w:r>
  </w:p>
  <w:p w14:paraId="5C780F48" w14:textId="77777777" w:rsidR="00EF517A" w:rsidRDefault="00EF5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288E" w14:textId="77777777" w:rsidR="00360960" w:rsidRDefault="00360960" w:rsidP="00EF517A">
      <w:r>
        <w:separator/>
      </w:r>
    </w:p>
  </w:footnote>
  <w:footnote w:type="continuationSeparator" w:id="0">
    <w:p w14:paraId="432FC864" w14:textId="77777777" w:rsidR="00360960" w:rsidRDefault="00360960" w:rsidP="00EF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15:restartNumberingAfterBreak="0">
    <w:nsid w:val="42015FCB"/>
    <w:multiLevelType w:val="hybridMultilevel"/>
    <w:tmpl w:val="503C8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0063A"/>
    <w:multiLevelType w:val="hybridMultilevel"/>
    <w:tmpl w:val="7F8A3418"/>
    <w:lvl w:ilvl="0" w:tplc="26748FE0">
      <w:start w:val="1"/>
      <w:numFmt w:val="decimal"/>
      <w:lvlText w:val="%1."/>
      <w:lvlJc w:val="left"/>
      <w:pPr>
        <w:ind w:left="720" w:hanging="360"/>
      </w:pPr>
    </w:lvl>
    <w:lvl w:ilvl="1" w:tplc="C644D240">
      <w:start w:val="1"/>
      <w:numFmt w:val="upperLetter"/>
      <w:lvlText w:val="%2."/>
      <w:lvlJc w:val="left"/>
      <w:pPr>
        <w:ind w:left="1440" w:hanging="360"/>
      </w:pPr>
      <w:rPr>
        <w:rFonts w:asciiTheme="minorHAnsi" w:eastAsiaTheme="minorEastAsia" w:hAnsiTheme="minorHAnsi" w:cstheme="minorBidi"/>
      </w:rPr>
    </w:lvl>
    <w:lvl w:ilvl="2" w:tplc="2B826E52">
      <w:start w:val="1"/>
      <w:numFmt w:val="lowerRoman"/>
      <w:lvlText w:val="%3."/>
      <w:lvlJc w:val="right"/>
      <w:pPr>
        <w:ind w:left="2160" w:hanging="180"/>
      </w:pPr>
    </w:lvl>
    <w:lvl w:ilvl="3" w:tplc="C7AA7B86">
      <w:start w:val="1"/>
      <w:numFmt w:val="decimal"/>
      <w:lvlText w:val="%4."/>
      <w:lvlJc w:val="left"/>
      <w:pPr>
        <w:ind w:left="2880" w:hanging="360"/>
      </w:pPr>
    </w:lvl>
    <w:lvl w:ilvl="4" w:tplc="616251EA">
      <w:start w:val="1"/>
      <w:numFmt w:val="lowerLetter"/>
      <w:lvlText w:val="%5."/>
      <w:lvlJc w:val="left"/>
      <w:pPr>
        <w:ind w:left="3600" w:hanging="360"/>
      </w:pPr>
    </w:lvl>
    <w:lvl w:ilvl="5" w:tplc="DA9C19DE">
      <w:start w:val="1"/>
      <w:numFmt w:val="lowerRoman"/>
      <w:lvlText w:val="%6."/>
      <w:lvlJc w:val="right"/>
      <w:pPr>
        <w:ind w:left="4320" w:hanging="180"/>
      </w:pPr>
    </w:lvl>
    <w:lvl w:ilvl="6" w:tplc="9FC23F1A">
      <w:start w:val="1"/>
      <w:numFmt w:val="decimal"/>
      <w:lvlText w:val="%7."/>
      <w:lvlJc w:val="left"/>
      <w:pPr>
        <w:ind w:left="5040" w:hanging="360"/>
      </w:pPr>
    </w:lvl>
    <w:lvl w:ilvl="7" w:tplc="2F9858D8">
      <w:start w:val="1"/>
      <w:numFmt w:val="lowerLetter"/>
      <w:lvlText w:val="%8."/>
      <w:lvlJc w:val="left"/>
      <w:pPr>
        <w:ind w:left="5760" w:hanging="360"/>
      </w:pPr>
    </w:lvl>
    <w:lvl w:ilvl="8" w:tplc="C0F291DC">
      <w:start w:val="1"/>
      <w:numFmt w:val="lowerRoman"/>
      <w:lvlText w:val="%9."/>
      <w:lvlJc w:val="right"/>
      <w:pPr>
        <w:ind w:left="6480" w:hanging="180"/>
      </w:pPr>
    </w:lvl>
  </w:abstractNum>
  <w:abstractNum w:abstractNumId="6"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6127C"/>
    <w:multiLevelType w:val="multilevel"/>
    <w:tmpl w:val="B718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8"/>
  </w:num>
  <w:num w:numId="6">
    <w:abstractNumId w:val="17"/>
  </w:num>
  <w:num w:numId="7">
    <w:abstractNumId w:val="16"/>
  </w:num>
  <w:num w:numId="8">
    <w:abstractNumId w:val="10"/>
  </w:num>
  <w:num w:numId="9">
    <w:abstractNumId w:val="6"/>
  </w:num>
  <w:num w:numId="10">
    <w:abstractNumId w:val="3"/>
  </w:num>
  <w:num w:numId="11">
    <w:abstractNumId w:val="12"/>
  </w:num>
  <w:num w:numId="12">
    <w:abstractNumId w:val="15"/>
  </w:num>
  <w:num w:numId="13">
    <w:abstractNumId w:val="14"/>
  </w:num>
  <w:num w:numId="14">
    <w:abstractNumId w:val="11"/>
  </w:num>
  <w:num w:numId="15">
    <w:abstractNumId w:val="18"/>
  </w:num>
  <w:num w:numId="16">
    <w:abstractNumId w:val="13"/>
  </w:num>
  <w:num w:numId="17">
    <w:abstractNumId w:val="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C6"/>
    <w:rsid w:val="001060BF"/>
    <w:rsid w:val="001A3A05"/>
    <w:rsid w:val="001D059F"/>
    <w:rsid w:val="002356A2"/>
    <w:rsid w:val="0027294F"/>
    <w:rsid w:val="00322290"/>
    <w:rsid w:val="00360960"/>
    <w:rsid w:val="00371A51"/>
    <w:rsid w:val="00417AC6"/>
    <w:rsid w:val="0051332C"/>
    <w:rsid w:val="0052152F"/>
    <w:rsid w:val="0057260B"/>
    <w:rsid w:val="005B56EC"/>
    <w:rsid w:val="006717C6"/>
    <w:rsid w:val="00685722"/>
    <w:rsid w:val="00686151"/>
    <w:rsid w:val="006E2D78"/>
    <w:rsid w:val="00731A73"/>
    <w:rsid w:val="00804AE4"/>
    <w:rsid w:val="00814248"/>
    <w:rsid w:val="008916B4"/>
    <w:rsid w:val="00920DA6"/>
    <w:rsid w:val="00974FB2"/>
    <w:rsid w:val="00A800AB"/>
    <w:rsid w:val="00AB2CD5"/>
    <w:rsid w:val="00B07240"/>
    <w:rsid w:val="00B101BF"/>
    <w:rsid w:val="00C7153E"/>
    <w:rsid w:val="00D14866"/>
    <w:rsid w:val="00DB619E"/>
    <w:rsid w:val="00EF517A"/>
    <w:rsid w:val="00F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9418"/>
  <w15:docId w15:val="{40A248B9-92E7-4483-9AA5-CA1BDE98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rsid w:val="00EF517A"/>
    <w:pPr>
      <w:tabs>
        <w:tab w:val="center" w:pos="4680"/>
        <w:tab w:val="right" w:pos="9360"/>
      </w:tabs>
    </w:pPr>
  </w:style>
  <w:style w:type="character" w:customStyle="1" w:styleId="FooterChar">
    <w:name w:val="Footer Char"/>
    <w:basedOn w:val="DefaultParagraphFont"/>
    <w:link w:val="Footer"/>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34"/>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 w:type="paragraph" w:styleId="NormalWeb">
    <w:name w:val="Normal (Web)"/>
    <w:basedOn w:val="Normal"/>
    <w:uiPriority w:val="99"/>
    <w:semiHidden/>
    <w:unhideWhenUsed/>
    <w:rsid w:val="001D05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6A96-3F45-E04D-B8D4-23B6BD36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Root</dc:creator>
  <cp:lastModifiedBy>Heather Matthews Kirk</cp:lastModifiedBy>
  <cp:revision>2</cp:revision>
  <dcterms:created xsi:type="dcterms:W3CDTF">2019-01-10T05:33:00Z</dcterms:created>
  <dcterms:modified xsi:type="dcterms:W3CDTF">2019-01-10T05:33:00Z</dcterms:modified>
</cp:coreProperties>
</file>